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лицензий системы финансово-экономического управления в 2026-2028 годах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- 15.01.10065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компания»: лицензии типовой тиражной системы финансово-экономического управления  будут являться новым НМА.  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С начала 2020 года в АО «Петербургская сбытовая компания» реализуется ввод в эксплуатацию типовой тиражной системы финансово-экономического управления в сегментах «Сбыт» и «Прочие» на базе 1С (далее - ФЭУ). Проект является централизованным проектом ПАО «Интер РАО». АО «Петербургская сбытовая компания» выступило компанией-пилотом сегмента «Сбыт». Система ФЭУ позволяет централизованно управлять корпоративной методологией бухгалтерского, налогового учета и учета по МСФО, бюджетного управления, а также повысить качество учетных данных и оптимальности их подготовки при передаче смежным предметным областям (бизнес-планирование, управление имуществом и инвестициями, трансфертное ценообразование, консолидированная отчетность и т.п.).  Основой данного проекта является централизованная автоматизация процессов ведения бухгалтерского и налогового учета, подготовки отчетности и процессов передачи данных в консолидационные пакеты и бизнес-планы компаний Группы позволит минимизировать риски нарушения качества бухгалтерской и налоговой отчетности и информации бизнес-планов компаний Группы.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Принятые в Группе корпоративные решения предусматривают продажу компаниям Группы лицензий ФЭУ с 2023 года на трехлетний срок, в 2026 году и 2029 году потребуется продление лицензий.</w:t>
      </w: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t xml:space="preserve">Приобретение АО «Петербургская сбытовая компания» права использования системы ФЭУ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Состав закупаемых лицензий системы ФЭУ: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1.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Лицензий сроком на 3 года 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255 шт.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sz w:val="24"/>
        </w:rPr>
        <w:t xml:space="preserve">2</w:t>
      </w:r>
      <w:r>
        <w:rPr>
          <w:rFonts w:hint="default" w:ascii="Liberation Serif" w:hAnsi="Liberation Serif" w:eastAsia="Liberation Serif" w:cs="Liberation Serif"/>
          <w:sz w:val="24"/>
        </w:rPr>
        <w:tab/>
      </w:r>
      <w:r>
        <w:rPr>
          <w:rFonts w:hint="default" w:ascii="Liberation Serif" w:hAnsi="Liberation Serif" w:eastAsia="Liberation Serif" w:cs="Liberation Serif"/>
          <w:sz w:val="24"/>
        </w:rPr>
        <w:t xml:space="preserve">Лицензий для ОЦО (универсальные лицензии)</w:t>
      </w:r>
      <w:r>
        <w:rPr>
          <w:rFonts w:hint="default" w:ascii="Liberation Serif" w:hAnsi="Liberation Serif" w:eastAsia="Liberation Serif" w:cs="Liberation Serif"/>
          <w:sz w:val="24"/>
        </w:rPr>
        <w:tab/>
        <w:t xml:space="preserve">20 шт.</w:t>
      </w: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включен в стратегические документы компании.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- 3 квартал 2026 г.</w:t>
      </w:r>
      <w:r/>
    </w:p>
    <w:p>
      <w:pPr>
        <w:pStyle w:val="632"/>
        <w:spacing w:before="57"/>
      </w:pPr>
      <w:r>
        <w:t xml:space="preserve">Завершение работ - 3 квартал 2028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763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64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64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64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64"/>
            </w:pPr>
            <w:r/>
            <w:r>
              <w:t xml:space="preserve">2027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64"/>
            </w:pPr>
            <w:r/>
            <w:r>
              <w:t xml:space="preserve">2028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64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6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66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66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5"/>
            </w:pPr>
            <w:r/>
            <w:r>
              <w:t xml:space="preserve">83 043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5"/>
            </w:pPr>
            <w:r/>
            <w:r>
              <w:t xml:space="preserve"> 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5"/>
            </w:pPr>
            <w:r/>
            <w:r>
              <w:t xml:space="preserve"> 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65"/>
            </w:pPr>
            <w:r/>
            <w:r>
              <w:t xml:space="preserve">83 043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83 043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83 043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6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83 043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83 043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763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64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64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64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64"/>
            </w:pPr>
            <w:r/>
            <w:r>
              <w:t xml:space="preserve">2027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64"/>
            </w:pPr>
            <w:r/>
            <w:r>
              <w:t xml:space="preserve">2028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64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6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66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66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5"/>
            </w:pPr>
            <w:r/>
            <w:r>
              <w:t xml:space="preserve">33 771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5"/>
            </w:pPr>
            <w:r/>
            <w:r>
              <w:t xml:space="preserve">33 771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65"/>
            </w:pPr>
            <w:r/>
            <w:r>
              <w:t xml:space="preserve">33 771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65"/>
            </w:pPr>
            <w:r/>
            <w:r>
              <w:t xml:space="preserve">101 313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33 771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33 771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33 771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101 313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6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6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33 771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33 771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33 771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6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101 313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763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764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764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64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64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763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764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765">
    <w:name w:val="Таблица 1. Число"/>
    <w:basedOn w:val="764"/>
    <w:uiPriority w:val="1"/>
    <w:qFormat/>
    <w:pPr>
      <w:jc w:val="right"/>
    </w:pPr>
    <w:rPr/>
  </w:style>
  <w:style w:type="paragraph" w:styleId="766">
    <w:name w:val="Таблица 1. Строка"/>
    <w:basedOn w:val="764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2026-03-03T12:11:36Z</dcterms:modified>
</cp:coreProperties>
</file>